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Collegium Pharmaceutical,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1,769,122.00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1,769,122.00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1,769,122.00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1,820,330.00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1,820,330.00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1,820,330.00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1,820,330.00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1,820,330.00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1,820,330.00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1,820,330.00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1,820,330.00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1,820,330.00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Collegium Pharmaceutical,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Technology Center Drive, Stoughton, Massachusetts 02072</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(g)</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(h)</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(j)</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(k)</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8.</w:t>
            </w:r>
          </w:p>
        </w:tc>
        <w:tc>
          <w:tcPr>
            <w:tcW w:w="89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9.</w:t>
            </w:r>
          </w:p>
        </w:tc>
        <w:tc>
          <w:tcPr>
            <w:tcW w:w="89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08/21/2026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August 21, 2026, by and among Integrated Core Strategies (US) LLC, Millennium Management LLC, Millennium Group Management LLC and Israel A. Englander.</w:t>
            </w:r>
          </w:p>
        </w:tc>
      </w:tr>
    </w:tbl>
    <w:p>
      <w:pPr>
        <w:pStyle w:val="TextBody"/>
        <w:bidi w:val="0"/>
        <w:jc w:val="left"/>
        <w:rPr/>
      </w:pPr>
      <w:bookmarkStart w:id="28" w:name="tm2623923d1_ex-1.htm"/>
      <w:bookmarkStart w:id="29" w:name="kstm2623923d1_ex1"/>
      <w:bookmarkEnd w:id="28"/>
      <w:bookmarkEnd w:id="29"/>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$0.001 per share, of Collegium Pharmaceutical,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21, 2026</w:t>
      </w:r>
    </w:p>
    <w:p>
      <w:pPr>
        <w:pStyle w:val="TextBody"/>
        <w:bidi w:val="0"/>
        <w:spacing w:before="0" w:after="283"/>
        <w:jc w:val="left"/>
        <w:rPr/>
      </w:pPr>
      <w:r>
        <w:rPr/>
        <w:t> </w:t>
      </w:r>
    </w:p>
    <w:tbl>
      <w:tblPr>
        <w:tblW w:w="3920" w:type="dxa"/>
        <w:jc w:val="left"/>
        <w:tblInd w:w="0" w:type="dxa"/>
        <w:tblLayout w:type="fixed"/>
        <w:tblCellMar>
          <w:top w:w="0" w:type="dxa"/>
          <w:left w:w="0" w:type="dxa"/>
          <w:bottom w:w="0" w:type="dxa"/>
          <w:right w:w="0" w:type="dxa"/>
        </w:tblCellMar>
      </w:tblPr>
      <w:tblGrid>
        <w:gridCol w:w="75"/>
        <w:gridCol w:w="3845"/>
      </w:tblGrid>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INTEGRATED CORE STRATEGIES (US)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Integrated Holding Group LP,</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Managing Member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Millennium Management LLC,</w:t>
            </w:r>
          </w:p>
          <w:p>
            <w:pPr>
              <w:pStyle w:val="TableContents"/>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1579</Words>
  <Characters>8297</Characters>
  <CharactersWithSpaces>9888</CharactersWithSpaces>
  <Paragraphs>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