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Balice-Gordon Rita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COLLEGIUM PHARMACEUTICAL, INC. 100 TECHNOLOGY CENTER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COLLEGIUM PHARMACEUTICAL,</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0"/>
          <w:szCs w:val="20"/>
          <w:color w:val="auto"/>
        </w:rPr>
      </w:pPr>
    </w:p>
    <w:p>
      <w:pPr>
        <w:sectPr>
          <w:pgSz w:w="11900" w:h="16838" w:orient="portrait"/>
          <w:cols w:equalWidth="0" w:num="3">
            <w:col w:w="3540" w:space="380"/>
            <w:col w:w="3320" w:space="49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41"/>
        </w:trPr>
        <w:tc>
          <w:tcPr>
            <w:tcW w:w="40" w:type="dxa"/>
            <w:vAlign w:val="bottom"/>
          </w:tcPr>
          <w:p>
            <w:pPr>
              <w:spacing w:after="0"/>
              <w:rPr>
                <w:sz w:val="12"/>
                <w:szCs w:val="12"/>
                <w:color w:val="auto"/>
              </w:rPr>
            </w:pPr>
          </w:p>
        </w:tc>
        <w:tc>
          <w:tcPr>
            <w:tcW w:w="19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3760" w:type="dxa"/>
            <w:vAlign w:val="bottom"/>
          </w:tcPr>
          <w:p>
            <w:pPr>
              <w:ind w:left="16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07"/>
        </w:trPr>
        <w:tc>
          <w:tcPr>
            <w:tcW w:w="2020" w:type="dxa"/>
            <w:vAlign w:val="bottom"/>
            <w:gridSpan w:val="2"/>
            <w:vMerge w:val="continue"/>
          </w:tcPr>
          <w:p>
            <w:pPr>
              <w:spacing w:after="0"/>
              <w:rPr>
                <w:sz w:val="9"/>
                <w:szCs w:val="9"/>
                <w:color w:val="auto"/>
              </w:rPr>
            </w:pPr>
          </w:p>
        </w:tc>
        <w:tc>
          <w:tcPr>
            <w:tcW w:w="166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STOUGHTON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02072</w:t>
            </w:r>
          </w:p>
        </w:tc>
        <w:tc>
          <w:tcPr>
            <w:tcW w:w="376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8,741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61,370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the Issuer's common stock. The RSUs vest on the earlier of May 14, 2027, or the date of the Issuer's 2027 Annual Meeting of Shareholders, subject to the director's continued service with the Issuer. The RSUs will be settled on such date, or, upon the election of the director, on the earlier of the end of the director's service on the Board of Directors, the director's death or disability, or a change in control of the Issuer, in shares of the Issuer's common stock.</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Colleen Tupper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4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Rita J.</w:t>
        <w:tab/>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Balice-Gordon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534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5341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2760"/>
        <w:spacing w:after="0"/>
        <w:rPr>
          <w:sz w:val="20"/>
          <w:szCs w:val="20"/>
          <w:color w:val="auto"/>
        </w:rPr>
      </w:pPr>
      <w:r>
        <w:rPr>
          <w:rFonts w:ascii="Times New Roman" w:cs="Times New Roman" w:eastAsia="Times New Roman" w:hAnsi="Times New Roman"/>
          <w:sz w:val="19"/>
          <w:szCs w:val="19"/>
          <w:b w:val="1"/>
          <w:bCs w:val="1"/>
          <w:color w:val="auto"/>
        </w:rPr>
        <w:t>LIMITED POWER OF ATTORNEY</w:t>
      </w:r>
    </w:p>
    <w:p>
      <w:pPr>
        <w:spacing w:after="0" w:line="212" w:lineRule="exact"/>
        <w:rPr>
          <w:sz w:val="20"/>
          <w:szCs w:val="20"/>
          <w:color w:val="auto"/>
        </w:rPr>
      </w:pPr>
    </w:p>
    <w:p>
      <w:pPr>
        <w:ind w:right="20" w:firstLine="640"/>
        <w:spacing w:after="0" w:line="260"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Vikram Karnani, Colleen Tupper and David Dieter, with full power to act singly, as the undersigned's true and lawful attorney-in-fact with full power of substitution to:</w:t>
      </w:r>
    </w:p>
    <w:p>
      <w:pPr>
        <w:spacing w:after="0" w:line="166" w:lineRule="exact"/>
        <w:rPr>
          <w:sz w:val="20"/>
          <w:szCs w:val="20"/>
          <w:color w:val="auto"/>
        </w:rPr>
      </w:pPr>
    </w:p>
    <w:p>
      <w:pPr>
        <w:jc w:val="both"/>
        <w:ind w:firstLine="646"/>
        <w:spacing w:after="0" w:line="247" w:lineRule="auto"/>
        <w:tabs>
          <w:tab w:leader="none" w:pos="125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and/or beneficial owner of Collegium Pharmaceutical, Inc. (the "Company"), Form ID Application, Forms 3, 4 and 5 in accordance with Section 16(a) of the Securities Exchange Act of 1934, as amended and the rules thereunder;</w:t>
      </w:r>
    </w:p>
    <w:p>
      <w:pPr>
        <w:spacing w:after="0" w:line="178" w:lineRule="exact"/>
        <w:rPr>
          <w:rFonts w:ascii="Times New Roman" w:cs="Times New Roman" w:eastAsia="Times New Roman" w:hAnsi="Times New Roman"/>
          <w:sz w:val="19"/>
          <w:szCs w:val="19"/>
          <w:color w:val="auto"/>
        </w:rPr>
      </w:pPr>
    </w:p>
    <w:p>
      <w:pPr>
        <w:jc w:val="both"/>
        <w:ind w:firstLine="646"/>
        <w:spacing w:after="0" w:line="247" w:lineRule="auto"/>
        <w:tabs>
          <w:tab w:leader="none" w:pos="125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ID Application, Forms 3, 4 or 5, complete and execute any amendment or amendments thereto and timely file such forms with the United States Securities and Exchange Commission and any stock exchange or similar authority; and</w:t>
      </w:r>
    </w:p>
    <w:p>
      <w:pPr>
        <w:spacing w:after="0" w:line="178" w:lineRule="exact"/>
        <w:rPr>
          <w:rFonts w:ascii="Times New Roman" w:cs="Times New Roman" w:eastAsia="Times New Roman" w:hAnsi="Times New Roman"/>
          <w:sz w:val="19"/>
          <w:szCs w:val="19"/>
          <w:color w:val="auto"/>
        </w:rPr>
      </w:pPr>
    </w:p>
    <w:p>
      <w:pPr>
        <w:jc w:val="both"/>
        <w:ind w:firstLine="646"/>
        <w:spacing w:after="0" w:line="242" w:lineRule="auto"/>
        <w:tabs>
          <w:tab w:leader="none" w:pos="125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5" w:lineRule="exact"/>
        <w:rPr>
          <w:sz w:val="20"/>
          <w:szCs w:val="20"/>
          <w:color w:val="auto"/>
        </w:rPr>
      </w:pPr>
    </w:p>
    <w:p>
      <w:pPr>
        <w:jc w:val="both"/>
        <w:ind w:firstLine="640"/>
        <w:spacing w:after="0"/>
        <w:rPr>
          <w:sz w:val="20"/>
          <w:szCs w:val="20"/>
          <w:color w:val="auto"/>
        </w:rPr>
      </w:pPr>
      <w:r>
        <w:rPr>
          <w:rFonts w:ascii="Times New Roman" w:cs="Times New Roman" w:eastAsia="Times New Roman" w:hAnsi="Times New Roman"/>
          <w:sz w:val="19"/>
          <w:szCs w:val="19"/>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power of attorney shall remain in full force and effect until revoked by the undersigned in a signed writing delivered to the attorney-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in-fact.</w:t>
      </w:r>
    </w:p>
    <w:p>
      <w:pPr>
        <w:spacing w:after="0" w:line="188" w:lineRule="exact"/>
        <w:rPr>
          <w:sz w:val="20"/>
          <w:szCs w:val="20"/>
          <w:color w:val="auto"/>
        </w:rPr>
      </w:pPr>
    </w:p>
    <w:p>
      <w:pPr>
        <w:ind w:right="2940" w:firstLine="640"/>
        <w:spacing w:after="0" w:line="362" w:lineRule="auto"/>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May 16, 2026.</w:t>
      </w:r>
    </w:p>
    <w:p>
      <w:pPr>
        <w:spacing w:after="0" w:line="10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u w:val="single" w:color="auto"/>
          <w:color w:val="auto"/>
        </w:rPr>
        <w:t>/s/ Rita Balice-Gordon</w:t>
      </w:r>
    </w:p>
    <w:p>
      <w:pPr>
        <w:spacing w:after="0" w:line="1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Signature</w:t>
      </w:r>
    </w:p>
    <w:p>
      <w:pPr>
        <w:spacing w:after="0" w:line="200" w:lineRule="exact"/>
        <w:rPr>
          <w:sz w:val="20"/>
          <w:szCs w:val="20"/>
          <w:color w:val="auto"/>
        </w:rPr>
      </w:pPr>
    </w:p>
    <w:p>
      <w:pPr>
        <w:spacing w:after="0" w:line="20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u w:val="single" w:color="auto"/>
          <w:color w:val="auto"/>
        </w:rPr>
        <w:t>Rita Balice-Gordon</w:t>
      </w:r>
    </w:p>
    <w:p>
      <w:pPr>
        <w:spacing w:after="0" w:line="1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color w:val="auto"/>
        </w:rPr>
        <w:t>Print Name</w:t>
      </w:r>
    </w:p>
    <w:p>
      <w:pPr>
        <w:spacing w:after="0" w:line="18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ACTIVE/207442206.1</w:t>
      </w:r>
    </w:p>
    <w:sectPr>
      <w:pgSz w:w="11900" w:h="16838" w:orient="portrait"/>
      <w:cols w:equalWidth="0" w:num="1">
        <w:col w:w="10980"/>
      </w:cols>
      <w:pgMar w:left="460" w:top="3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5625" TargetMode="External"/><Relationship Id="rId14" Type="http://schemas.openxmlformats.org/officeDocument/2006/relationships/hyperlink" Target="http://www.sec.gov/cgi-bin/browse-edgar?action=getcompany&amp;CIK=00012675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2026-05-18T15:29:18Z</dcterms:created>
  <dcterms:modified xsi:type="dcterms:W3CDTF">2026-05-18T15:29:18Z</dcterms:modified>
</cp:coreProperties>
</file>