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COLLEGIUM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Fuller &amp; Thaler Asset Management, Inc.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1,632,780.71</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1,632,780.71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1,632,780.71</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5"/>
        <w:gridCol w:w="8985"/>
        <w:gridCol w:w="155"/>
      </w:tblGrid>
      <w:tr>
        <w:trPr/>
        <w:tc>
          <w:tcPr>
            <w:tcW w:w="1065" w:type="dxa"/>
            <w:tcBorders/>
            <w:vAlign w:val="center"/>
          </w:tcPr>
          <w:p>
            <w:pPr>
              <w:pStyle w:val="TableContents"/>
              <w:bidi w:val="0"/>
              <w:spacing w:before="0" w:after="283"/>
              <w:jc w:val="left"/>
              <w:rPr/>
            </w:pPr>
            <w:r>
              <w:rPr/>
              <w:t>Item 1.</w:t>
            </w:r>
          </w:p>
        </w:tc>
        <w:tc>
          <w:tcPr>
            <w:tcW w:w="89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Name of issuer: </w:t>
            </w:r>
          </w:p>
          <w:p>
            <w:pPr>
              <w:pStyle w:val="TableContents"/>
              <w:bidi w:val="0"/>
              <w:spacing w:before="0" w:after="0"/>
              <w:jc w:val="left"/>
              <w:rPr/>
            </w:pPr>
            <w:r>
              <w:rPr/>
              <w:t>COLLEGIUM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Technology Center Drive, Stoughton, MA 02072</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2.</w:t>
            </w:r>
          </w:p>
        </w:tc>
        <w:tc>
          <w:tcPr>
            <w:tcW w:w="89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Fuller &amp; Thaler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411 Borel Avenue, Suite 300, San Mateo, CA 94402</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jc w:val="left"/>
              <w:rPr/>
            </w:pPr>
            <w:r>
              <w:rPr/>
              <w:t xml:space="preserve">Citizenship: </w:t>
            </w:r>
          </w:p>
          <w:p>
            <w:pPr>
              <w:pStyle w:val="TableContents"/>
              <w:bidi w:val="0"/>
              <w:spacing w:before="0" w:after="0"/>
              <w:jc w:val="left"/>
              <w:rPr/>
            </w:pPr>
            <w:r>
              <w:rPr/>
              <w:t>California corporation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(d)</w:t>
            </w:r>
          </w:p>
        </w:tc>
        <w:tc>
          <w:tcPr>
            <w:tcW w:w="89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(e)</w:t>
            </w:r>
          </w:p>
        </w:tc>
        <w:tc>
          <w:tcPr>
            <w:tcW w:w="89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3.</w:t>
            </w:r>
          </w:p>
        </w:tc>
        <w:tc>
          <w:tcPr>
            <w:tcW w:w="89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(d)</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(e)</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(f)</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(g)</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(h)</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(j)</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(k)</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9140" w:type="dxa"/>
            <w:gridSpan w:val="2"/>
            <w:tcBorders/>
            <w:vAlign w:val="center"/>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4.</w:t>
            </w:r>
          </w:p>
        </w:tc>
        <w:tc>
          <w:tcPr>
            <w:tcW w:w="89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1,632,780.71</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1,632,780.71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1,632,780.71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5.</w:t>
            </w:r>
          </w:p>
        </w:tc>
        <w:tc>
          <w:tcPr>
            <w:tcW w:w="89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6.</w:t>
            </w:r>
          </w:p>
        </w:tc>
        <w:tc>
          <w:tcPr>
            <w:tcW w:w="89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Fuller &amp; Thaler Asset Management, Inc. is deemed to be thebeneficial owner of the number of securities reflected in Items 5-9 and 11 of page two (2) of this Schedule 13G pursuant toseparate arrangements whereby it acts as investment adviser tocertain persons. Each person for whom Fuller &amp; Thaler AssetManagement, Inc. acts as investment adviser has the right toreceive or the power to direct the receipt of dividends from,or the proceeds from the sale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7.</w:t>
            </w:r>
          </w:p>
        </w:tc>
        <w:tc>
          <w:tcPr>
            <w:tcW w:w="89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8.</w:t>
            </w:r>
          </w:p>
        </w:tc>
        <w:tc>
          <w:tcPr>
            <w:tcW w:w="89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9.</w:t>
            </w:r>
          </w:p>
        </w:tc>
        <w:tc>
          <w:tcPr>
            <w:tcW w:w="89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Fuller &amp; Thaler Asset Management, Inc.</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Hanna Zanoni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4609</Characters>
  <CharactersWithSpaces>5495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