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COLLEGIUM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1,514,310.00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1,514,310.00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1,514,310.00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COLLEGIUM PHARMACEUTICAL,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TECHNOLOGY CENTER DRIVE, STOUGHTON, MASSACHUSETTS 02072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711 HIGH STREET DES MOINES, Iowa 50392-0300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PRINCIPAL GLOBAL INVESTORS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1,514,310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- 0</w:t>
      </w:r>
    </w:p>
    <w:p>
      <w:pPr>
        <w:spacing w:after="0" w:line="287" w:lineRule="exact"/>
        <w:rPr>
          <w:rFonts w:ascii="Times New Roman" w:cs="Times New Roman" w:eastAsia="Times New Roman" w:hAnsi="Times New Roman"/>
          <w:sz w:val="22"/>
          <w:szCs w:val="22"/>
          <w:color w:val="auto"/>
        </w:rPr>
      </w:pPr>
    </w:p>
    <w:p>
      <w:pPr>
        <w:jc w:val="center"/>
        <w:ind w:right="590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PRINCIPAL GLOBAL INVESTORS - 1,514,310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GLOBAL INVESTORS - 0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PRINCIPAL GLOBAL INVESTORS - 1,514,310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PRINCIPAL GLOBAL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 Markham Penrod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 Markham Penrod, Chief Compliance Officer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North America, Principal Asset Management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2026-10-29T09:46:32Z</dcterms:created>
  <dcterms:modified xsi:type="dcterms:W3CDTF">2026-10-29T09:46:32Z</dcterms:modified>
</cp:coreProperties>
</file>