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Collegium Pharmaceutical,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740" w:type="dxa"/>
        <w:tblCellMar>
          <w:top w:w="0" w:type="dxa"/>
          <w:left w:w="0" w:type="dxa"/>
          <w:bottom w:w="0" w:type="dxa"/>
          <w:right w:w="0" w:type="dxa"/>
        </w:tblCellMar>
      </w:tblPr>
      <w:tr>
        <w:trPr>
          <w:trHeight w:val="214"/>
        </w:trPr>
        <w:tc>
          <w:tcPr>
            <w:tcW w:w="2600" w:type="dxa"/>
            <w:vAlign w:val="bottom"/>
          </w:tcPr>
          <w:p>
            <w:pPr>
              <w:spacing w:after="0"/>
              <w:rPr>
                <w:sz w:val="18"/>
                <w:szCs w:val="18"/>
                <w:color w:val="auto"/>
              </w:rPr>
            </w:pPr>
          </w:p>
        </w:tc>
        <w:tc>
          <w:tcPr>
            <w:tcW w:w="47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100 Technology Center Drive</w:t>
            </w:r>
          </w:p>
        </w:tc>
        <w:tc>
          <w:tcPr>
            <w:tcW w:w="1980" w:type="dxa"/>
            <w:vAlign w:val="bottom"/>
          </w:tcPr>
          <w:p>
            <w:pPr>
              <w:spacing w:after="0"/>
              <w:rPr>
                <w:sz w:val="18"/>
                <w:szCs w:val="18"/>
                <w:color w:val="auto"/>
              </w:rPr>
            </w:pPr>
          </w:p>
        </w:tc>
      </w:tr>
      <w:tr>
        <w:trPr>
          <w:trHeight w:val="218"/>
        </w:trPr>
        <w:tc>
          <w:tcPr>
            <w:tcW w:w="2600" w:type="dxa"/>
            <w:vAlign w:val="bottom"/>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47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Stoughton, MA 02072</w:t>
            </w:r>
          </w:p>
        </w:tc>
        <w:tc>
          <w:tcPr>
            <w:tcW w:w="1980" w:type="dxa"/>
            <w:vAlign w:val="bottom"/>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w w:val="98"/>
              </w:rPr>
              <w:t>03-0416362</w:t>
            </w:r>
          </w:p>
        </w:tc>
      </w:tr>
      <w:tr>
        <w:trPr>
          <w:trHeight w:val="214"/>
        </w:trPr>
        <w:tc>
          <w:tcPr>
            <w:tcW w:w="260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474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(Address, including zip code, of</w:t>
            </w:r>
          </w:p>
        </w:tc>
        <w:tc>
          <w:tcPr>
            <w:tcW w:w="198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260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47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Principal Executive Offices)</w:t>
            </w:r>
          </w:p>
        </w:tc>
        <w:tc>
          <w:tcPr>
            <w:tcW w:w="198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9"/>
        </w:trPr>
        <w:tc>
          <w:tcPr>
            <w:tcW w:w="2600" w:type="dxa"/>
            <w:vAlign w:val="bottom"/>
          </w:tcPr>
          <w:p>
            <w:pPr>
              <w:spacing w:after="0"/>
              <w:rPr>
                <w:sz w:val="24"/>
                <w:szCs w:val="24"/>
                <w:color w:val="auto"/>
              </w:rPr>
            </w:pPr>
          </w:p>
        </w:tc>
        <w:tc>
          <w:tcPr>
            <w:tcW w:w="47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2015 EMPLOYEE STOCK PURCHASE PLAN</w:t>
            </w:r>
          </w:p>
        </w:tc>
        <w:tc>
          <w:tcPr>
            <w:tcW w:w="1980" w:type="dxa"/>
            <w:vAlign w:val="bottom"/>
          </w:tcPr>
          <w:p>
            <w:pPr>
              <w:spacing w:after="0"/>
              <w:rPr>
                <w:sz w:val="24"/>
                <w:szCs w:val="24"/>
                <w:color w:val="auto"/>
              </w:rPr>
            </w:pPr>
          </w:p>
        </w:tc>
      </w:tr>
      <w:tr>
        <w:trPr>
          <w:trHeight w:val="233"/>
        </w:trPr>
        <w:tc>
          <w:tcPr>
            <w:tcW w:w="2600" w:type="dxa"/>
            <w:vAlign w:val="bottom"/>
          </w:tcPr>
          <w:p>
            <w:pPr>
              <w:spacing w:after="0"/>
              <w:rPr>
                <w:sz w:val="20"/>
                <w:szCs w:val="20"/>
                <w:color w:val="auto"/>
              </w:rPr>
            </w:pPr>
          </w:p>
        </w:tc>
        <w:tc>
          <w:tcPr>
            <w:tcW w:w="47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1980" w:type="dxa"/>
            <w:vAlign w:val="bottom"/>
          </w:tcPr>
          <w:p>
            <w:pPr>
              <w:spacing w:after="0"/>
              <w:rPr>
                <w:sz w:val="20"/>
                <w:szCs w:val="20"/>
                <w:color w:val="auto"/>
              </w:rPr>
            </w:pP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Colleen Tupper</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Technology Center Drive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Stoughton, MA 02072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713-3699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98" w:lineRule="exact"/>
        <w:rPr>
          <w:sz w:val="24"/>
          <w:szCs w:val="24"/>
          <w:color w:val="auto"/>
        </w:rPr>
      </w:pPr>
    </w:p>
    <w:tbl>
      <w:tblPr>
        <w:tblLayout w:type="fixed"/>
        <w:tblInd w:w="190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55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409"/>
        </w:trPr>
        <w:tc>
          <w:tcPr>
            <w:tcW w:w="2640" w:type="dxa"/>
            <w:vAlign w:val="bottom"/>
          </w:tcPr>
          <w:p>
            <w:pPr>
              <w:jc w:val="center"/>
              <w:ind w:right="611"/>
              <w:spacing w:after="0"/>
              <w:rPr>
                <w:sz w:val="20"/>
                <w:szCs w:val="20"/>
                <w:color w:val="auto"/>
              </w:rPr>
            </w:pPr>
            <w:r>
              <w:rPr>
                <w:rFonts w:ascii="Times New Roman" w:cs="Times New Roman" w:eastAsia="Times New Roman" w:hAnsi="Times New Roman"/>
                <w:sz w:val="18"/>
                <w:szCs w:val="18"/>
                <w:b w:val="1"/>
                <w:bCs w:val="1"/>
                <w:color w:val="auto"/>
                <w:w w:val="97"/>
              </w:rPr>
              <w:t>Jennifer L. Porter, Esq.</w:t>
            </w:r>
          </w:p>
        </w:tc>
        <w:tc>
          <w:tcPr>
            <w:tcW w:w="556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7"/>
              </w:rPr>
              <w:t>David Dieter, Esq.</w:t>
            </w:r>
          </w:p>
        </w:tc>
      </w:tr>
      <w:tr>
        <w:trPr>
          <w:trHeight w:val="214"/>
        </w:trPr>
        <w:tc>
          <w:tcPr>
            <w:tcW w:w="264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8"/>
              </w:rPr>
              <w:t>Goodwin Procter LLP</w:t>
            </w:r>
          </w:p>
        </w:tc>
        <w:tc>
          <w:tcPr>
            <w:tcW w:w="556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w w:val="98"/>
              </w:rPr>
              <w:t>Executive Vice President &amp; General Counsel</w:t>
            </w:r>
          </w:p>
        </w:tc>
      </w:tr>
      <w:tr>
        <w:trPr>
          <w:trHeight w:val="214"/>
        </w:trPr>
        <w:tc>
          <w:tcPr>
            <w:tcW w:w="264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8"/>
              </w:rPr>
              <w:t>3025 John F Kennedy Blvd</w:t>
            </w:r>
          </w:p>
        </w:tc>
        <w:tc>
          <w:tcPr>
            <w:tcW w:w="556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w w:val="98"/>
              </w:rPr>
              <w:t>100 Technology Center Drive, Suite 300</w:t>
            </w:r>
          </w:p>
        </w:tc>
      </w:tr>
      <w:tr>
        <w:trPr>
          <w:trHeight w:val="214"/>
        </w:trPr>
        <w:tc>
          <w:tcPr>
            <w:tcW w:w="264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7"/>
              </w:rPr>
              <w:t>Philadelphia, PA 19104</w:t>
            </w:r>
          </w:p>
        </w:tc>
        <w:tc>
          <w:tcPr>
            <w:tcW w:w="556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w w:val="97"/>
              </w:rPr>
              <w:t>Stoughton, MA 02072</w:t>
            </w:r>
          </w:p>
        </w:tc>
      </w:tr>
      <w:tr>
        <w:trPr>
          <w:trHeight w:val="233"/>
        </w:trPr>
        <w:tc>
          <w:tcPr>
            <w:tcW w:w="264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7"/>
              </w:rPr>
              <w:t>(445) 207-7806</w:t>
            </w:r>
          </w:p>
        </w:tc>
        <w:tc>
          <w:tcPr>
            <w:tcW w:w="556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w w:val="97"/>
              </w:rPr>
              <w:t>(781) 713-3699</w:t>
            </w:r>
          </w:p>
        </w:tc>
      </w:tr>
    </w:tbl>
    <w:p>
      <w:pPr>
        <w:spacing w:after="0" w:line="195" w:lineRule="exact"/>
        <w:rPr>
          <w:sz w:val="24"/>
          <w:szCs w:val="24"/>
          <w:color w:val="auto"/>
        </w:rPr>
      </w:pPr>
    </w:p>
    <w:p>
      <w:pPr>
        <w:ind w:right="140" w:firstLine="32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rPr>
                <w:sz w:val="20"/>
                <w:szCs w:val="20"/>
                <w:color w:val="auto"/>
              </w:rPr>
            </w:pPr>
            <w:r>
              <w:rPr>
                <w:rFonts w:ascii="Wingdings" w:cs="Wingdings" w:eastAsia="Wingdings" w:hAnsi="Wingdings"/>
                <w:sz w:val="18"/>
                <w:szCs w:val="18"/>
                <w:b w:val="1"/>
                <w:bCs w:val="1"/>
                <w:color w:val="auto"/>
              </w:rPr>
              <w:t>x</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ind w:right="300" w:firstLine="321"/>
        <w:spacing w:after="0" w:line="238"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490855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This Registration Statement on Form S-8 is being filed for the purpose of registering an additional 317,076 shares of Common Stock of the Registrant that were added to the shares authorized for issuance under the Collegium Pharmaceutical, Inc. 2015 Employee Stock Purchase Plan (the “ESPP”) for which a Registration Statement on Form S-8 relating to the same employee benefit plans is effective. Pursuant to General Instruction E to Form S-8, the contents of the Registration Statements on Form S-8 (File Nos. 333-207744, 333-218767, 333-225498, 333-233092, 333-245649, 333-258752, 333-266778, 333-</w:t>
      </w:r>
      <w:hyperlink r:id="rId13">
        <w:r>
          <w:rPr>
            <w:rFonts w:ascii="Times New Roman" w:cs="Times New Roman" w:eastAsia="Times New Roman" w:hAnsi="Times New Roman"/>
            <w:sz w:val="18"/>
            <w:szCs w:val="18"/>
            <w:color w:val="auto"/>
          </w:rPr>
          <w:t xml:space="preserve">273874, 333-281571 and 333-285593) filed with the Securities and Exchange Commission (the “Commission”) on </w:t>
        </w:r>
        <w:r>
          <w:rPr>
            <w:rFonts w:ascii="Times New Roman" w:cs="Times New Roman" w:eastAsia="Times New Roman" w:hAnsi="Times New Roman"/>
            <w:sz w:val="18"/>
            <w:szCs w:val="18"/>
            <w:u w:val="single" w:color="auto"/>
            <w:color w:val="0000EE"/>
          </w:rPr>
          <w:t>November 2, 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15, 2017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7, 2018</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August 7, 2019</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August 13, 2020</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August 12, 2021</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August 11, 2022</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August 10, 2023</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 xml:space="preserve">August 15, 2024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March 6, 2025</w:t>
        </w:r>
      </w:hyperlink>
      <w:hyperlink r:id="rId13">
        <w:r>
          <w:rPr>
            <w:rFonts w:ascii="Times New Roman" w:cs="Times New Roman" w:eastAsia="Times New Roman" w:hAnsi="Times New Roman"/>
            <w:sz w:val="18"/>
            <w:szCs w:val="18"/>
            <w:color w:val="000000"/>
          </w:rPr>
          <w:t>, as amended, are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 except to the extent supplemented, amended or superseded by the information set forth herein. Only those items of Form S-8 containing new information not contained in the earlier registration statements are presented herein.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pacing w:after="0" w:line="163" w:lineRule="exact"/>
        <w:rPr>
          <w:sz w:val="20"/>
          <w:szCs w:val="20"/>
          <w:color w:val="auto"/>
        </w:rPr>
      </w:pPr>
    </w:p>
    <w:p>
      <w:pPr>
        <w:ind w:left="1060" w:right="420" w:hanging="492"/>
        <w:spacing w:after="0" w:line="277" w:lineRule="auto"/>
        <w:tabs>
          <w:tab w:leader="none" w:pos="1060" w:val="left"/>
        </w:tabs>
        <w:numPr>
          <w:ilvl w:val="0"/>
          <w:numId w:val="1"/>
        </w:numPr>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The Registrant’s Annual Report on Form 10-K for the fiscal year ended December 31, 2025, filed with the Commission on February 26,</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2026;</w:t>
        </w:r>
      </w:hyperlink>
    </w:p>
    <w:p>
      <w:pPr>
        <w:spacing w:after="0" w:line="190" w:lineRule="exact"/>
        <w:rPr>
          <w:rFonts w:ascii="Times New Roman" w:cs="Times New Roman" w:eastAsia="Times New Roman" w:hAnsi="Times New Roman"/>
          <w:sz w:val="18"/>
          <w:szCs w:val="18"/>
          <w:u w:val="single" w:color="auto"/>
          <w:color w:val="0000EE"/>
        </w:rPr>
      </w:pPr>
    </w:p>
    <w:p>
      <w:pPr>
        <w:ind w:left="1060" w:hanging="492"/>
        <w:spacing w:after="0"/>
        <w:tabs>
          <w:tab w:leader="none" w:pos="1060" w:val="left"/>
        </w:tabs>
        <w:numPr>
          <w:ilvl w:val="0"/>
          <w:numId w:val="1"/>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The Registrant’s Quarterly Report on Form 10-Q for the quarter ended March 31, 2026, filed with the Commission on May 7, 2026;</w:t>
        </w:r>
      </w:hyperlink>
    </w:p>
    <w:p>
      <w:pPr>
        <w:spacing w:after="0" w:line="247" w:lineRule="exact"/>
        <w:rPr>
          <w:rFonts w:ascii="Times New Roman" w:cs="Times New Roman" w:eastAsia="Times New Roman" w:hAnsi="Times New Roman"/>
          <w:sz w:val="18"/>
          <w:szCs w:val="18"/>
          <w:u w:val="single" w:color="auto"/>
          <w:color w:val="0000EE"/>
        </w:rPr>
      </w:pPr>
    </w:p>
    <w:p>
      <w:pPr>
        <w:ind w:left="1060" w:right="180" w:hanging="492"/>
        <w:spacing w:after="0" w:line="277" w:lineRule="auto"/>
        <w:tabs>
          <w:tab w:leader="none" w:pos="1060"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The Registrant’s Current Reports on Form 8-K (other than information furnished rather than filed) filed with the Commission on </w:t>
        </w:r>
        <w:r>
          <w:rPr>
            <w:rFonts w:ascii="Times New Roman" w:cs="Times New Roman" w:eastAsia="Times New Roman" w:hAnsi="Times New Roman"/>
            <w:sz w:val="18"/>
            <w:szCs w:val="18"/>
            <w:u w:val="single" w:color="auto"/>
            <w:color w:val="0000EE"/>
          </w:rPr>
          <w:t>March 19,</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April 7, 2026</w:t>
        </w:r>
      </w:hyperlink>
      <w:hyperlink r:id="rId2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May 12, 2026</w:t>
        </w:r>
      </w:hyperlink>
      <w:hyperlink r:id="rId24">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May 15, 2026</w:t>
        </w:r>
      </w:hyperlink>
      <w:hyperlink r:id="rId24">
        <w:r>
          <w:rPr>
            <w:rFonts w:ascii="Times New Roman" w:cs="Times New Roman" w:eastAsia="Times New Roman" w:hAnsi="Times New Roman"/>
            <w:sz w:val="18"/>
            <w:szCs w:val="18"/>
            <w:color w:val="000000"/>
          </w:rPr>
          <w:t>; and</w:t>
        </w:r>
      </w:hyperlink>
    </w:p>
    <w:p>
      <w:pPr>
        <w:spacing w:after="0" w:line="190" w:lineRule="exact"/>
        <w:rPr>
          <w:rFonts w:ascii="Times New Roman" w:cs="Times New Roman" w:eastAsia="Times New Roman" w:hAnsi="Times New Roman"/>
          <w:sz w:val="18"/>
          <w:szCs w:val="18"/>
          <w:color w:val="0000EE"/>
        </w:rPr>
      </w:pPr>
    </w:p>
    <w:p>
      <w:pPr>
        <w:ind w:left="1060" w:right="360" w:hanging="492"/>
        <w:spacing w:after="0" w:line="262"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w:t>
      </w:r>
      <w:hyperlink r:id="rId28">
        <w:r>
          <w:rPr>
            <w:rFonts w:ascii="Times New Roman" w:cs="Times New Roman" w:eastAsia="Times New Roman" w:hAnsi="Times New Roman"/>
            <w:sz w:val="18"/>
            <w:szCs w:val="18"/>
            <w:u w:val="single" w:color="auto"/>
            <w:color w:val="0000EE"/>
          </w:rPr>
          <w:t>Form 8-A filed with the Commission on May 1, 2015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pursuant to the Securities Exchange Act of 1934, as amended (the “Exchange Act”), including any amendment or report filed for the purpose of further updating such description.</w:t>
      </w:r>
    </w:p>
    <w:p>
      <w:pPr>
        <w:spacing w:after="0" w:line="177" w:lineRule="exact"/>
        <w:rPr>
          <w:rFonts w:ascii="Times New Roman" w:cs="Times New Roman" w:eastAsia="Times New Roman" w:hAnsi="Times New Roman"/>
          <w:sz w:val="18"/>
          <w:szCs w:val="18"/>
          <w:color w:val="0000EE"/>
        </w:rPr>
      </w:pPr>
    </w:p>
    <w:p>
      <w:pPr>
        <w:spacing w:after="0" w:line="268" w:lineRule="auto"/>
        <w:rPr>
          <w:sz w:val="20"/>
          <w:szCs w:val="20"/>
          <w:color w:val="auto"/>
        </w:rPr>
      </w:pPr>
      <w:r>
        <w:rPr>
          <w:rFonts w:ascii="Times New Roman" w:cs="Times New Roman" w:eastAsia="Times New Roman" w:hAnsi="Times New Roman"/>
          <w:sz w:val="17"/>
          <w:szCs w:val="17"/>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information deemed to have been furnished and not filed in accordance with Commission rules shall not be deemed incorporated by reference into this Registration Statement.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17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0" w:lineRule="exact"/>
        <w:rPr>
          <w:rFonts w:ascii="Times New Roman" w:cs="Times New Roman" w:eastAsia="Times New Roman" w:hAnsi="Times New Roman"/>
          <w:sz w:val="18"/>
          <w:szCs w:val="18"/>
          <w:color w:val="0000EE"/>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80"/>
          </w:cols>
          <w:pgMar w:left="320" w:top="892" w:right="399" w:bottom="1440" w:gutter="0" w:footer="0" w:header="0"/>
        </w:sectPr>
      </w:pPr>
    </w:p>
    <w:p>
      <w:pPr>
        <w:spacing w:after="0" w:line="220" w:lineRule="exact"/>
        <w:rPr>
          <w:rFonts w:ascii="Times New Roman" w:cs="Times New Roman" w:eastAsia="Times New Roman" w:hAnsi="Times New Roman"/>
          <w:sz w:val="18"/>
          <w:szCs w:val="18"/>
          <w:color w:val="0000EE"/>
        </w:rPr>
      </w:pPr>
    </w:p>
    <w:p>
      <w:pPr>
        <w:ind w:left="24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41" w:lineRule="exact"/>
        <w:rPr>
          <w:rFonts w:ascii="Times New Roman" w:cs="Times New Roman" w:eastAsia="Times New Roman" w:hAnsi="Times New Roman"/>
          <w:sz w:val="18"/>
          <w:szCs w:val="18"/>
          <w:color w:val="0000EE"/>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3810</wp:posOffset>
            </wp:positionV>
            <wp:extent cx="576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57658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200" w:lineRule="exact"/>
        <w:rPr>
          <w:rFonts w:ascii="Times New Roman" w:cs="Times New Roman" w:eastAsia="Times New Roman" w:hAnsi="Times New Roman"/>
          <w:sz w:val="18"/>
          <w:szCs w:val="18"/>
          <w:color w:val="0000EE"/>
        </w:rPr>
      </w:pPr>
    </w:p>
    <w:p>
      <w:pPr>
        <w:spacing w:after="0" w:line="214" w:lineRule="exact"/>
        <w:rPr>
          <w:rFonts w:ascii="Times New Roman" w:cs="Times New Roman" w:eastAsia="Times New Roman" w:hAnsi="Times New Roman"/>
          <w:sz w:val="18"/>
          <w:szCs w:val="18"/>
          <w:color w:val="0000EE"/>
        </w:rPr>
      </w:pPr>
    </w:p>
    <w:p>
      <w:pPr>
        <w:jc w:val="center"/>
        <w:ind w:right="452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-3020695</wp:posOffset>
            </wp:positionH>
            <wp:positionV relativeFrom="paragraph">
              <wp:posOffset>26035</wp:posOffset>
            </wp:positionV>
            <wp:extent cx="6489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41" w:lineRule="exact"/>
        <w:rPr>
          <w:rFonts w:ascii="Times New Roman" w:cs="Times New Roman" w:eastAsia="Times New Roman" w:hAnsi="Times New Roman"/>
          <w:sz w:val="18"/>
          <w:szCs w:val="18"/>
          <w:color w:val="0000EE"/>
        </w:rPr>
      </w:pPr>
    </w:p>
    <w:p>
      <w:pPr>
        <w:sectPr>
          <w:pgSz w:w="11900" w:h="16838" w:orient="portrait"/>
          <w:cols w:equalWidth="0" w:num="2">
            <w:col w:w="5060" w:space="720"/>
            <w:col w:w="5400"/>
          </w:cols>
          <w:pgMar w:left="320" w:top="892" w:right="399" w:bottom="1440" w:gutter="0" w:footer="0" w:header="0"/>
          <w:type w:val="continuous"/>
        </w:sectPr>
      </w:pPr>
    </w:p>
    <w:p>
      <w:pPr>
        <w:ind w:left="340"/>
        <w:spacing w:after="0"/>
        <w:tabs>
          <w:tab w:leader="none" w:pos="1000" w:val="left"/>
        </w:tabs>
        <w:rPr>
          <w:rFonts w:ascii="Times New Roman" w:cs="Times New Roman" w:eastAsia="Times New Roman" w:hAnsi="Times New Roman"/>
          <w:sz w:val="17"/>
          <w:szCs w:val="17"/>
          <w:u w:val="single" w:color="auto"/>
          <w:color w:val="0000EE"/>
        </w:rPr>
      </w:pPr>
      <w:hyperlink r:id="rId31">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31">
        <w:r>
          <w:rPr>
            <w:rFonts w:ascii="Times New Roman" w:cs="Times New Roman" w:eastAsia="Times New Roman" w:hAnsi="Times New Roman"/>
            <w:sz w:val="17"/>
            <w:szCs w:val="17"/>
            <w:u w:val="single" w:color="auto"/>
            <w:color w:val="0000EE"/>
          </w:rPr>
          <w:t>Third Amended and Restated Articles of Incorporation of Collegium Pharmaceutical, Inc. (1)</w:t>
        </w:r>
      </w:hyperlink>
    </w:p>
    <w:p>
      <w:pPr>
        <w:spacing w:after="0" w:line="20" w:lineRule="exact"/>
        <w:rPr>
          <w:sz w:val="20"/>
          <w:szCs w:val="20"/>
          <w:color w:val="auto"/>
        </w:rPr>
      </w:pPr>
    </w:p>
    <w:p>
      <w:pPr>
        <w:ind w:left="340"/>
        <w:spacing w:after="0"/>
        <w:tabs>
          <w:tab w:leader="none" w:pos="1000" w:val="left"/>
        </w:tabs>
        <w:rPr>
          <w:rFonts w:ascii="Times New Roman" w:cs="Times New Roman" w:eastAsia="Times New Roman" w:hAnsi="Times New Roman"/>
          <w:sz w:val="17"/>
          <w:szCs w:val="17"/>
          <w:u w:val="single" w:color="auto"/>
          <w:color w:val="0000EE"/>
        </w:rPr>
      </w:pPr>
      <w:hyperlink r:id="rId32">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32">
        <w:r>
          <w:rPr>
            <w:rFonts w:ascii="Times New Roman" w:cs="Times New Roman" w:eastAsia="Times New Roman" w:hAnsi="Times New Roman"/>
            <w:sz w:val="17"/>
            <w:szCs w:val="17"/>
            <w:u w:val="single" w:color="auto"/>
            <w:color w:val="0000EE"/>
          </w:rPr>
          <w:t>Amended and Restated Bylaws of Collegium Pharmaceutical, Inc. (2)</w:t>
        </w:r>
      </w:hyperlink>
    </w:p>
    <w:p>
      <w:pPr>
        <w:spacing w:after="0" w:line="7" w:lineRule="exact"/>
        <w:rPr>
          <w:sz w:val="20"/>
          <w:szCs w:val="20"/>
          <w:color w:val="auto"/>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5.1 *</w:t>
      </w:r>
      <w:r>
        <w:rPr>
          <w:sz w:val="20"/>
          <w:szCs w:val="20"/>
          <w:color w:val="auto"/>
        </w:rPr>
        <w:tab/>
      </w:r>
      <w:r>
        <w:rPr>
          <w:rFonts w:ascii="Times New Roman" w:cs="Times New Roman" w:eastAsia="Times New Roman" w:hAnsi="Times New Roman"/>
          <w:sz w:val="17"/>
          <w:szCs w:val="17"/>
          <w:u w:val="single" w:color="auto"/>
          <w:color w:val="0000EE"/>
        </w:rPr>
        <w:t>Opinion of Troutman Pepper Locke LLP.</w:t>
      </w:r>
    </w:p>
    <w:p>
      <w:pPr>
        <w:spacing w:after="0" w:line="7" w:lineRule="exact"/>
        <w:rPr>
          <w:sz w:val="20"/>
          <w:szCs w:val="20"/>
          <w:color w:val="auto"/>
        </w:rPr>
      </w:pPr>
    </w:p>
    <w:p>
      <w:pPr>
        <w:ind w:left="24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23.1 *</w:t>
      </w:r>
      <w:r>
        <w:rPr>
          <w:sz w:val="20"/>
          <w:szCs w:val="20"/>
          <w:color w:val="auto"/>
        </w:rPr>
        <w:tab/>
      </w:r>
      <w:r>
        <w:rPr>
          <w:rFonts w:ascii="Times New Roman" w:cs="Times New Roman" w:eastAsia="Times New Roman" w:hAnsi="Times New Roman"/>
          <w:sz w:val="17"/>
          <w:szCs w:val="17"/>
          <w:u w:val="single" w:color="auto"/>
          <w:color w:val="0000EE"/>
        </w:rPr>
        <w:t>Consent of Deloitte &amp; Touche LLP.</w:t>
      </w:r>
    </w:p>
    <w:p>
      <w:pPr>
        <w:spacing w:after="0" w:line="7" w:lineRule="exact"/>
        <w:rPr>
          <w:sz w:val="20"/>
          <w:szCs w:val="20"/>
          <w:color w:val="auto"/>
        </w:rPr>
      </w:pPr>
    </w:p>
    <w:p>
      <w:pPr>
        <w:ind w:left="24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23.2 *</w:t>
      </w:r>
      <w:r>
        <w:rPr>
          <w:sz w:val="20"/>
          <w:szCs w:val="20"/>
          <w:color w:val="auto"/>
        </w:rPr>
        <w:tab/>
      </w:r>
      <w:r>
        <w:rPr>
          <w:rFonts w:ascii="Times New Roman" w:cs="Times New Roman" w:eastAsia="Times New Roman" w:hAnsi="Times New Roman"/>
          <w:sz w:val="17"/>
          <w:szCs w:val="17"/>
          <w:u w:val="single" w:color="auto"/>
          <w:color w:val="0000EE"/>
        </w:rPr>
        <w:t>Consent of Troutman Pepper Locke LLP (included in Exhibit 5.1).</w:t>
      </w:r>
    </w:p>
    <w:p>
      <w:pPr>
        <w:spacing w:after="0" w:line="7" w:lineRule="exact"/>
        <w:rPr>
          <w:sz w:val="20"/>
          <w:szCs w:val="20"/>
          <w:color w:val="auto"/>
        </w:rPr>
      </w:pPr>
    </w:p>
    <w:p>
      <w:pPr>
        <w:ind w:left="24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24.1 *</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7" w:lineRule="exact"/>
        <w:rPr>
          <w:sz w:val="20"/>
          <w:szCs w:val="20"/>
          <w:color w:val="auto"/>
        </w:rPr>
      </w:pPr>
    </w:p>
    <w:p>
      <w:pPr>
        <w:ind w:left="380"/>
        <w:spacing w:after="0"/>
        <w:tabs>
          <w:tab w:leader="none" w:pos="1000" w:val="left"/>
        </w:tabs>
        <w:rPr>
          <w:rFonts w:ascii="Times New Roman" w:cs="Times New Roman" w:eastAsia="Times New Roman" w:hAnsi="Times New Roman"/>
          <w:sz w:val="17"/>
          <w:szCs w:val="17"/>
          <w:u w:val="single" w:color="auto"/>
          <w:color w:val="0000EE"/>
        </w:rPr>
      </w:pPr>
      <w:hyperlink r:id="rId33">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r:id="rId33">
        <w:r>
          <w:rPr>
            <w:rFonts w:ascii="Times New Roman" w:cs="Times New Roman" w:eastAsia="Times New Roman" w:hAnsi="Times New Roman"/>
            <w:sz w:val="17"/>
            <w:szCs w:val="17"/>
            <w:u w:val="single" w:color="auto"/>
            <w:color w:val="0000EE"/>
          </w:rPr>
          <w:t>2015 Employee Stock Purchase Plan (3)</w:t>
        </w:r>
      </w:hyperlink>
    </w:p>
    <w:p>
      <w:pPr>
        <w:spacing w:after="0" w:line="7"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1781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315" w:lineRule="exact"/>
        <w:rPr>
          <w:sz w:val="20"/>
          <w:szCs w:val="20"/>
          <w:color w:val="auto"/>
        </w:rPr>
      </w:pPr>
    </w:p>
    <w:p>
      <w:pPr>
        <w:ind w:left="400" w:hanging="393"/>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0" w:lineRule="exact"/>
        <w:rPr>
          <w:sz w:val="20"/>
          <w:szCs w:val="20"/>
          <w:color w:val="auto"/>
        </w:rPr>
      </w:pPr>
    </w:p>
    <w:p>
      <w:pPr>
        <w:ind w:left="260" w:hanging="253"/>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Quarterly Report on Form 10-Q, filed with the Commission on August 5, 2020.</w:t>
      </w:r>
    </w:p>
    <w:p>
      <w:pPr>
        <w:spacing w:after="0" w:line="220"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with the Commission on December 4, 2017.</w:t>
      </w:r>
    </w:p>
    <w:p>
      <w:pPr>
        <w:spacing w:after="0" w:line="220" w:lineRule="exact"/>
        <w:rPr>
          <w:rFonts w:ascii="Times New Roman" w:cs="Times New Roman" w:eastAsia="Times New Roman" w:hAnsi="Times New Roman"/>
          <w:sz w:val="18"/>
          <w:szCs w:val="18"/>
          <w:color w:val="auto"/>
        </w:rPr>
      </w:pPr>
    </w:p>
    <w:p>
      <w:pPr>
        <w:ind w:right="100" w:firstLine="7"/>
        <w:spacing w:after="0" w:line="277" w:lineRule="auto"/>
        <w:tabs>
          <w:tab w:leader="none" w:pos="2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Registration Statement on Form S-8 (File No. 333-207744) filed with the Commission on November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641"/>
        <w:spacing w:after="0" w:line="27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Town of Stoughton, Commonwealth of Massachusetts, on this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June, 2026.</w:t>
      </w:r>
    </w:p>
    <w:p>
      <w:pPr>
        <w:spacing w:after="0" w:line="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COLLEGIUM PHARMACEUTICAL, INC.</w:t>
      </w:r>
    </w:p>
    <w:p>
      <w:pPr>
        <w:spacing w:after="0" w:line="2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Colleen Tupper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Colleen Tupper</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240" w:firstLine="641"/>
        <w:spacing w:after="0" w:line="271" w:lineRule="auto"/>
        <w:rPr>
          <w:sz w:val="20"/>
          <w:szCs w:val="20"/>
          <w:color w:val="auto"/>
        </w:rPr>
      </w:pPr>
      <w:r>
        <w:rPr>
          <w:rFonts w:ascii="Times New Roman" w:cs="Times New Roman" w:eastAsia="Times New Roman" w:hAnsi="Times New Roman"/>
          <w:sz w:val="17"/>
          <w:szCs w:val="17"/>
          <w:color w:val="auto"/>
        </w:rPr>
        <w:t>We, the undersigned officers and directors of Collegium Pharmaceutical, Inc., hereby severally constitute and appoint Vikram Karnani, Colleen Tupper and David Dieter, and each of them singly, our true and lawful attorneys with full power to them, and each of them singly, to sign for us and in our names in the capacities indicated below, the Registration Statement filed herewith and any and all subsequent amendments to said Registration Statement, and generally to do all such things in our names and on our behalf in our capacities as officers and directors to enable Collegium Pharmaceutical, Inc. to comply with the provisions of the Securities Act and all requirements of the Securities and Exchange Commission, hereby ratifying and confirming our signatures as they may be signed by our said attorneys, or any of them, to said Registration Statement and any and all amendments thereto.</w:t>
      </w:r>
    </w:p>
    <w:p>
      <w:pPr>
        <w:spacing w:after="0" w:line="172" w:lineRule="exact"/>
        <w:rPr>
          <w:sz w:val="20"/>
          <w:szCs w:val="20"/>
          <w:color w:val="auto"/>
        </w:rPr>
      </w:pPr>
    </w:p>
    <w:p>
      <w:pPr>
        <w:ind w:right="660"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on Form S-8 has been signed by the following persons in the capacities indicated on June 1,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80" w:type="dxa"/>
            <w:vAlign w:val="bottom"/>
          </w:tcPr>
          <w:p>
            <w:pPr>
              <w:spacing w:after="0"/>
              <w:rPr>
                <w:sz w:val="20"/>
                <w:szCs w:val="20"/>
                <w:color w:val="auto"/>
              </w:rPr>
            </w:pPr>
          </w:p>
        </w:tc>
        <w:tc>
          <w:tcPr>
            <w:tcW w:w="7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8"/>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Vikram Karnani</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 and Chief Executive Officer (Principal Executive Officer)</w:t>
            </w:r>
          </w:p>
        </w:tc>
      </w:tr>
      <w:tr>
        <w:trPr>
          <w:trHeight w:val="232"/>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Vikram Karnani</w:t>
            </w:r>
          </w:p>
        </w:tc>
        <w:tc>
          <w:tcPr>
            <w:tcW w:w="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5"/>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Colleen Tupper</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r>
        <w:trPr>
          <w:trHeight w:val="233"/>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Colleen Tupper</w:t>
            </w:r>
          </w:p>
        </w:tc>
        <w:tc>
          <w:tcPr>
            <w:tcW w:w="80" w:type="dxa"/>
            <w:vAlign w:val="bottom"/>
          </w:tcPr>
          <w:p>
            <w:pPr>
              <w:spacing w:after="0"/>
              <w:rPr>
                <w:sz w:val="20"/>
                <w:szCs w:val="20"/>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449"/>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Gino Santini</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of the Board of Directors</w:t>
            </w:r>
          </w:p>
        </w:tc>
      </w:tr>
      <w:tr>
        <w:trPr>
          <w:trHeight w:val="22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Gino Santini</w:t>
            </w:r>
          </w:p>
        </w:tc>
        <w:tc>
          <w:tcPr>
            <w:tcW w:w="80" w:type="dxa"/>
            <w:vAlign w:val="bottom"/>
          </w:tcPr>
          <w:p>
            <w:pPr>
              <w:spacing w:after="0"/>
              <w:rPr>
                <w:sz w:val="19"/>
                <w:szCs w:val="19"/>
                <w:color w:val="auto"/>
              </w:rPr>
            </w:pPr>
          </w:p>
        </w:tc>
        <w:tc>
          <w:tcPr>
            <w:tcW w:w="7760" w:type="dxa"/>
            <w:vAlign w:val="bottom"/>
          </w:tcPr>
          <w:p>
            <w:pPr>
              <w:spacing w:after="0"/>
              <w:rPr>
                <w:sz w:val="19"/>
                <w:szCs w:val="19"/>
                <w:color w:val="auto"/>
              </w:rPr>
            </w:pPr>
          </w:p>
        </w:tc>
      </w:tr>
      <w:tr>
        <w:trPr>
          <w:trHeight w:val="41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Rita Balice-Gordon, Ph.D.</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Rita Balice-Gordon, Ph.D.</w:t>
            </w:r>
          </w:p>
        </w:tc>
        <w:tc>
          <w:tcPr>
            <w:tcW w:w="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Garen G. Bohlin</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Garen G. Bohlin</w:t>
            </w:r>
          </w:p>
        </w:tc>
        <w:tc>
          <w:tcPr>
            <w:tcW w:w="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Donovan</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Donovan</w:t>
            </w:r>
          </w:p>
        </w:tc>
        <w:tc>
          <w:tcPr>
            <w:tcW w:w="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G. Freund, M.D.</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G. Freund, M.D.</w:t>
            </w:r>
          </w:p>
        </w:tc>
        <w:tc>
          <w:tcPr>
            <w:tcW w:w="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6"/>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Nancy Lurker</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Nancy Lurker</w:t>
            </w:r>
          </w:p>
        </w:tc>
        <w:tc>
          <w:tcPr>
            <w:tcW w:w="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09"/>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Carlos Paya, M.D., Ph.D.</w:t>
            </w:r>
          </w:p>
        </w:tc>
        <w:tc>
          <w:tcPr>
            <w:tcW w:w="80" w:type="dxa"/>
            <w:vAlign w:val="bottom"/>
          </w:tcPr>
          <w:p>
            <w:pPr>
              <w:spacing w:after="0"/>
              <w:rPr>
                <w:sz w:val="24"/>
                <w:szCs w:val="24"/>
                <w:color w:val="auto"/>
              </w:rPr>
            </w:pPr>
          </w:p>
        </w:tc>
        <w:tc>
          <w:tcPr>
            <w:tcW w:w="7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Carlos Paya, M.D., Ph.D.</w:t>
            </w:r>
          </w:p>
        </w:tc>
        <w:tc>
          <w:tcPr>
            <w:tcW w:w="80" w:type="dxa"/>
            <w:vAlign w:val="bottom"/>
          </w:tcPr>
          <w:p>
            <w:pPr>
              <w:spacing w:after="0"/>
              <w:rPr>
                <w:sz w:val="19"/>
                <w:szCs w:val="19"/>
                <w:color w:val="auto"/>
              </w:rPr>
            </w:pPr>
          </w:p>
        </w:tc>
        <w:tc>
          <w:tcPr>
            <w:tcW w:w="7760" w:type="dxa"/>
            <w:vAlign w:val="bottom"/>
          </w:tcPr>
          <w:p>
            <w:pPr>
              <w:spacing w:after="0"/>
              <w:rPr>
                <w:sz w:val="19"/>
                <w:szCs w:val="19"/>
                <w:color w:val="auto"/>
              </w:rPr>
            </w:pPr>
          </w:p>
        </w:tc>
      </w:tr>
      <w:tr>
        <w:trPr>
          <w:trHeight w:val="649"/>
        </w:trPr>
        <w:tc>
          <w:tcPr>
            <w:tcW w:w="3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-119380</wp:posOffset>
            </wp:positionV>
            <wp:extent cx="1526540" cy="551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1526540" cy="5511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Building, 1001 Haxall Point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VA 23219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Collegium Pharmaceutical,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Technology Center Drive,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Stoughton, MA 02072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Reference is made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of Collegium Pharmaceutical, Inc., a Virginia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on the date hereof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Registration Statement covers an aggregate of 317,076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to be issued in accordance with the Company’s 2015 Employee Stock Purchase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furnished in accordance with the requirements of Item 8(a) of Form S-8 and Item 601(b)(5)(i) of Regulation S-K.</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purposes of this opinion letter, we have examined the Registration Statement, including the exhibits thereto, the originals or copies, certified or otherwise identified to our satisfaction, of the Third Amended and Restated Articles of Incorporation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and the Amended and Restated Bylaws of the Company, the Plan and such agreements, instruments and documents as we have deemed an appropriate basis on which to render the opinions hereinafter expressed. In our examination of the aforesaid documents, we have assumed the genuineness of all signatures, the legal competence and capacity of all natural persons, the accuracy and completeness of all documents submitted to us, the authenticity of all original documents, and the conformity to authentic original documents of all documents submitted to us as copies (including telecopies).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herewith, we have assumed that all of the documents referred to in this opinion letter have been duly authorized by, have been duly executed and delivered by, and constitute the valid, binding and enforceable obligations of, all of the parties to such documents, all of the signatories to such documents have been duly authorized and all such parties are duly organized and validly existing and have the power and authority (corporate or other) to execute, deliver and perform such documents.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purport to express an opinion on any laws other than the laws of the Commonwealth of Virginia.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assumptions, comments, qualifications, limitations and exceptions set forth herein, we are of the opinion that the Shares have been duly authorized for issuance, and when issued, delivered and paid for in accordance with the Plan (assuming that, upon any issuance of the Shares, the total number of shares of common stock issued and outstanding will not exceed the total number of shares of common stock that the Company is then authorized to issue under its Articles of Incorporation), the Shares will be legally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424815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-119380</wp:posOffset>
            </wp:positionV>
            <wp:extent cx="1094105" cy="398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1094105" cy="39878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render any opinions except as set forth above. We hereby consent to the filing of this opinion as Exhibit 5.1 to the Registration Statement. We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this consent, we do not admit that we are within the category of persons whose consent is required by Section 7 of the Securities Act or the rules and regulations promulgated thereunder by the Commission.</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Troutman Pepper Locke LLP</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448310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26, 2026, relating to the financial statements of Collegium Pharmaceutical, Inc. and the effectiveness of Collegium Pharmaceutical, Inc.’s internal control over financial reporting, appearing in the Annual Report on Form 10-K of Collegium Pharmaceutical, Inc.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 w:name="page8"/>
    <w:bookmarkEnd w:id="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COLLEGIUM PHARMACEUTICAL,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ind w:left="138"/>
              <w:spacing w:after="0"/>
              <w:rPr>
                <w:sz w:val="20"/>
                <w:szCs w:val="20"/>
                <w:color w:val="auto"/>
              </w:rPr>
            </w:pPr>
            <w:r>
              <w:rPr>
                <w:rFonts w:ascii="Arial" w:cs="Arial" w:eastAsia="Arial" w:hAnsi="Arial"/>
                <w:sz w:val="21"/>
                <w:szCs w:val="21"/>
                <w:b w:val="1"/>
                <w:bCs w:val="1"/>
                <w:color w:val="auto"/>
                <w:w w:val="99"/>
              </w:rPr>
              <w:t>Fee</w:t>
            </w: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10"/>
                <w:szCs w:val="10"/>
                <w:color w:val="auto"/>
              </w:rPr>
            </w:pPr>
          </w:p>
        </w:tc>
        <w:tc>
          <w:tcPr>
            <w:tcW w:w="14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9ADAF6"/>
          </w:tcPr>
          <w:p>
            <w:pPr>
              <w:ind w:left="20"/>
              <w:spacing w:after="0" w:line="216" w:lineRule="exact"/>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18"/>
                <w:szCs w:val="18"/>
                <w:color w:val="auto"/>
              </w:rPr>
            </w:pPr>
          </w:p>
        </w:tc>
        <w:tc>
          <w:tcPr>
            <w:tcW w:w="1560" w:type="dxa"/>
            <w:vAlign w:val="bottom"/>
            <w:shd w:val="clear" w:color="auto" w:fill="9ADAF6"/>
          </w:tcPr>
          <w:p>
            <w:pPr>
              <w:ind w:left="40"/>
              <w:spacing w:after="0" w:line="216" w:lineRule="exact"/>
              <w:rPr>
                <w:sz w:val="20"/>
                <w:szCs w:val="20"/>
                <w:color w:val="auto"/>
              </w:rPr>
            </w:pPr>
            <w:r>
              <w:rPr>
                <w:rFonts w:ascii="Arial" w:cs="Arial" w:eastAsia="Arial" w:hAnsi="Arial"/>
                <w:sz w:val="21"/>
                <w:szCs w:val="21"/>
                <w:b w:val="1"/>
                <w:bCs w:val="1"/>
                <w:color w:val="auto"/>
              </w:rPr>
              <w:t>Security Class</w:t>
            </w: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right"/>
              <w:ind w:right="73"/>
              <w:spacing w:after="0" w:line="216"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8"/>
                <w:szCs w:val="18"/>
                <w:color w:val="auto"/>
              </w:rPr>
            </w:pPr>
          </w:p>
        </w:tc>
        <w:tc>
          <w:tcPr>
            <w:tcW w:w="108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320" w:type="dxa"/>
            <w:vAlign w:val="bottom"/>
            <w:vMerge w:val="continue"/>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vMerge w:val="restart"/>
            <w:shd w:val="clear" w:color="auto" w:fill="9ADAF6"/>
          </w:tcPr>
          <w:p>
            <w:pPr>
              <w:ind w:left="200"/>
              <w:spacing w:after="0"/>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12"/>
                <w:szCs w:val="12"/>
                <w:color w:val="auto"/>
              </w:rPr>
            </w:pPr>
          </w:p>
        </w:tc>
        <w:tc>
          <w:tcPr>
            <w:tcW w:w="1560" w:type="dxa"/>
            <w:vAlign w:val="bottom"/>
            <w:vMerge w:val="restart"/>
            <w:shd w:val="clear" w:color="auto" w:fill="9ADAF6"/>
          </w:tcPr>
          <w:p>
            <w:pPr>
              <w:ind w:left="560"/>
              <w:spacing w:after="0"/>
              <w:rPr>
                <w:sz w:val="20"/>
                <w:szCs w:val="20"/>
                <w:color w:val="auto"/>
              </w:rPr>
            </w:pPr>
            <w:r>
              <w:rPr>
                <w:rFonts w:ascii="Arial" w:cs="Arial" w:eastAsia="Arial" w:hAnsi="Arial"/>
                <w:sz w:val="21"/>
                <w:szCs w:val="21"/>
                <w:b w:val="1"/>
                <w:bCs w:val="1"/>
                <w:color w:val="auto"/>
              </w:rPr>
              <w:t>Title</w:t>
            </w:r>
          </w:p>
        </w:tc>
        <w:tc>
          <w:tcPr>
            <w:tcW w:w="20" w:type="dxa"/>
            <w:vAlign w:val="bottom"/>
          </w:tcPr>
          <w:p>
            <w:pPr>
              <w:spacing w:after="0"/>
              <w:rPr>
                <w:sz w:val="12"/>
                <w:szCs w:val="12"/>
                <w:color w:val="auto"/>
              </w:rPr>
            </w:pPr>
          </w:p>
        </w:tc>
        <w:tc>
          <w:tcPr>
            <w:tcW w:w="1200" w:type="dxa"/>
            <w:vAlign w:val="bottom"/>
            <w:gridSpan w:val="2"/>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12"/>
                <w:szCs w:val="12"/>
                <w:color w:val="auto"/>
              </w:rPr>
            </w:pPr>
          </w:p>
        </w:tc>
        <w:tc>
          <w:tcPr>
            <w:tcW w:w="10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w:t>
            </w:r>
          </w:p>
        </w:tc>
        <w:tc>
          <w:tcPr>
            <w:tcW w:w="40" w:type="dxa"/>
            <w:vAlign w:val="bottom"/>
          </w:tcPr>
          <w:p>
            <w:pPr>
              <w:spacing w:after="0"/>
              <w:rPr>
                <w:sz w:val="12"/>
                <w:szCs w:val="12"/>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2"/>
                <w:szCs w:val="12"/>
                <w:color w:val="auto"/>
              </w:rPr>
            </w:pPr>
          </w:p>
        </w:tc>
        <w:tc>
          <w:tcPr>
            <w:tcW w:w="106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Registration</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ind w:left="118"/>
              <w:spacing w:after="0" w:line="216" w:lineRule="exact"/>
              <w:rPr>
                <w:sz w:val="20"/>
                <w:szCs w:val="20"/>
                <w:color w:val="auto"/>
              </w:rPr>
            </w:pPr>
            <w:r>
              <w:rPr>
                <w:rFonts w:ascii="Arial" w:cs="Arial" w:eastAsia="Arial" w:hAnsi="Arial"/>
                <w:sz w:val="21"/>
                <w:szCs w:val="21"/>
                <w:b w:val="1"/>
                <w:bCs w:val="1"/>
                <w:color w:val="auto"/>
              </w:rPr>
              <w:t>Rule</w:t>
            </w:r>
          </w:p>
        </w:tc>
        <w:tc>
          <w:tcPr>
            <w:tcW w:w="2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Price Per</w:t>
            </w:r>
          </w:p>
        </w:tc>
        <w:tc>
          <w:tcPr>
            <w:tcW w:w="40" w:type="dxa"/>
            <w:vAlign w:val="bottom"/>
          </w:tcPr>
          <w:p>
            <w:pPr>
              <w:spacing w:after="0"/>
              <w:rPr>
                <w:sz w:val="18"/>
                <w:szCs w:val="18"/>
                <w:color w:val="auto"/>
              </w:rPr>
            </w:pPr>
          </w:p>
        </w:tc>
        <w:tc>
          <w:tcPr>
            <w:tcW w:w="14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0"/>
                <w:szCs w:val="20"/>
                <w:color w:val="auto"/>
              </w:rPr>
            </w:pPr>
          </w:p>
        </w:tc>
        <w:tc>
          <w:tcPr>
            <w:tcW w:w="14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Price</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9ADAF6"/>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left w:val="single" w:sz="8" w:color="auto"/>
            </w:tcBorders>
          </w:tcPr>
          <w:p>
            <w:pPr>
              <w:spacing w:after="0"/>
              <w:rPr>
                <w:sz w:val="5"/>
                <w:szCs w:val="5"/>
                <w:color w:val="auto"/>
              </w:rPr>
            </w:pPr>
          </w:p>
        </w:tc>
        <w:tc>
          <w:tcPr>
            <w:tcW w:w="1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vMerge w:val="continue"/>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9ADAF6"/>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 Stock,</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$0.001 par</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 per share</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 Collegium</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40" w:type="dxa"/>
            <w:vAlign w:val="bottom"/>
          </w:tcPr>
          <w:p>
            <w:pPr>
              <w:spacing w:after="0"/>
              <w:rPr>
                <w:sz w:val="10"/>
                <w:szCs w:val="10"/>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15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Pharmaceutical,</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ind w:left="118"/>
              <w:spacing w:after="0"/>
              <w:rPr>
                <w:sz w:val="20"/>
                <w:szCs w:val="20"/>
                <w:color w:val="auto"/>
              </w:rPr>
            </w:pPr>
            <w:r>
              <w:rPr>
                <w:rFonts w:ascii="Arial" w:cs="Arial" w:eastAsia="Arial" w:hAnsi="Arial"/>
                <w:sz w:val="21"/>
                <w:szCs w:val="21"/>
                <w:color w:val="auto"/>
              </w:rPr>
              <w:t>Other</w:t>
            </w:r>
          </w:p>
        </w:tc>
        <w:tc>
          <w:tcPr>
            <w:tcW w:w="2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317,076</w:t>
            </w:r>
          </w:p>
        </w:tc>
        <w:tc>
          <w:tcPr>
            <w:tcW w:w="20" w:type="dxa"/>
            <w:vAlign w:val="bottom"/>
          </w:tcPr>
          <w:p>
            <w:pPr>
              <w:spacing w:after="0"/>
              <w:rPr>
                <w:sz w:val="10"/>
                <w:szCs w:val="10"/>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$ 33.31</w:t>
            </w:r>
          </w:p>
        </w:tc>
        <w:tc>
          <w:tcPr>
            <w:tcW w:w="40" w:type="dxa"/>
            <w:vAlign w:val="bottom"/>
          </w:tcPr>
          <w:p>
            <w:pPr>
              <w:spacing w:after="0"/>
              <w:rPr>
                <w:sz w:val="10"/>
                <w:szCs w:val="10"/>
                <w:color w:val="auto"/>
              </w:rPr>
            </w:pPr>
          </w:p>
        </w:tc>
        <w:tc>
          <w:tcPr>
            <w:tcW w:w="14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$ 1,458.58</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10,561,801.56</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Inc. 2015</w:t>
            </w: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Employee</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Purchase</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4"/>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$ 1,458.58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10,561,801.56</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$ 1,458.58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60" w:firstLine="2"/>
        <w:spacing w:after="0" w:line="245" w:lineRule="auto"/>
        <w:tabs>
          <w:tab w:leader="none" w:pos="1121"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accordance with Rule 416 under the Securities Act of 1933, as amended (the "Securities Act"), this Registration Statement on Form S-8 shall be deemed to cover any additional shares of common stock, $0.001 par value per share (the "Common Stock"), of Collegium Pharmaceutical, Inc., a Virginia corporation (the "Registrant"), which become issuable under the Collegium Pharmaceutical, Inc. 2015 Employee Stock Purchase Plan (the "Plan") by reason of any stock dividend, stock split, recapitalization or other similar transaction effected without the receipt of consideration which results in an increase in the number of the outstanding shares of Common Stock of the Registrant.</w:t>
      </w:r>
    </w:p>
    <w:p>
      <w:pPr>
        <w:spacing w:after="0" w:line="197" w:lineRule="exact"/>
        <w:rPr>
          <w:rFonts w:ascii="Arial" w:cs="Arial" w:eastAsia="Arial" w:hAnsi="Arial"/>
          <w:sz w:val="21"/>
          <w:szCs w:val="21"/>
          <w:color w:val="auto"/>
        </w:rPr>
      </w:pPr>
    </w:p>
    <w:p>
      <w:pPr>
        <w:ind w:left="1120" w:hanging="318"/>
        <w:spacing w:after="0"/>
        <w:tabs>
          <w:tab w:leader="none" w:pos="1120"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Represents the number of shares of Common Stock available for issuance under the Plan.</w:t>
      </w:r>
    </w:p>
    <w:p>
      <w:pPr>
        <w:spacing w:after="0" w:line="239" w:lineRule="exact"/>
        <w:rPr>
          <w:rFonts w:ascii="Arial" w:cs="Arial" w:eastAsia="Arial" w:hAnsi="Arial"/>
          <w:sz w:val="21"/>
          <w:szCs w:val="21"/>
          <w:color w:val="auto"/>
        </w:rPr>
      </w:pPr>
    </w:p>
    <w:p>
      <w:pPr>
        <w:ind w:left="800" w:right="700" w:firstLine="2"/>
        <w:spacing w:after="0" w:line="258" w:lineRule="auto"/>
        <w:tabs>
          <w:tab w:leader="none" w:pos="1121" w:val="left"/>
        </w:tabs>
        <w:numPr>
          <w:ilvl w:val="0"/>
          <w:numId w:val="4"/>
        </w:numPr>
        <w:rPr>
          <w:rFonts w:ascii="Arial" w:cs="Arial" w:eastAsia="Arial" w:hAnsi="Arial"/>
          <w:sz w:val="21"/>
          <w:szCs w:val="21"/>
          <w:color w:val="auto"/>
        </w:rPr>
      </w:pPr>
      <w:r>
        <w:rPr>
          <w:rFonts w:ascii="Arial" w:cs="Arial" w:eastAsia="Arial" w:hAnsi="Arial"/>
          <w:sz w:val="21"/>
          <w:szCs w:val="21"/>
          <w:color w:val="auto"/>
        </w:rPr>
        <w:t>Estimated in accordance with Rule 457(c) and Rule 457(h) solely for the purpose of calculating the registration fee on the basis of the average of the high and low prices of the Registrant's common stock as reported on The Nasdaq Global Select Market on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222250</wp:posOffset>
            </wp:positionV>
            <wp:extent cx="6387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3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3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jpe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jpe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13" Type="http://schemas.openxmlformats.org/officeDocument/2006/relationships/hyperlink" Target="https://www.sec.gov/Archives/edgar/data/1267565/000110465918038906/a18-14995_1s8.htm" TargetMode="External"/><Relationship Id="rId14" Type="http://schemas.openxmlformats.org/officeDocument/2006/relationships/hyperlink" Target="https://www.sec.gov/Archives/edgar/data/1267565/000110465919044558/a19-16762_1s8.htm" TargetMode="External"/><Relationship Id="rId15" Type="http://schemas.openxmlformats.org/officeDocument/2006/relationships/hyperlink" Target="https://www.sec.gov/Archives/edgar/data/1267565/000110465920094654/tm2026488d1_s8.htm" TargetMode="External"/><Relationship Id="rId16" Type="http://schemas.openxmlformats.org/officeDocument/2006/relationships/hyperlink" Target="https://www.sec.gov/Archives/edgar/data/1267565/000110465921104143/tm2124633d1_s8.htm" TargetMode="External"/><Relationship Id="rId17" Type="http://schemas.openxmlformats.org/officeDocument/2006/relationships/hyperlink" Target="https://www.sec.gov/Archives/edgar/data/1267565/000110465922089335/tm2222417d1_s8.htm" TargetMode="External"/><Relationship Id="rId18" Type="http://schemas.openxmlformats.org/officeDocument/2006/relationships/hyperlink" Target="https://www.sec.gov/Archives/edgar/data/1267565/000110465923089783/tm2323232d1_s8.htm" TargetMode="External"/><Relationship Id="rId19" Type="http://schemas.openxmlformats.org/officeDocument/2006/relationships/hyperlink" Target="https://www.sec.gov/Archives/edgar/data/1267565/000110465924090106/tm2421486d1_s8.htm" TargetMode="External"/><Relationship Id="rId20" Type="http://schemas.openxmlformats.org/officeDocument/2006/relationships/hyperlink" Target="https://www.sec.gov/Archives/edgar/data/1267565/000110465925021363/tm258263d1_s8.htm" TargetMode="External"/><Relationship Id="rId22" Type="http://schemas.openxmlformats.org/officeDocument/2006/relationships/hyperlink" Target="https://www.sec.gov/ix?doc=/Archives/edgar/data/1267565/000162828026011992/coll-20251231.htm" TargetMode="External"/><Relationship Id="rId23" Type="http://schemas.openxmlformats.org/officeDocument/2006/relationships/hyperlink" Target="https://www.sec.gov/ix?doc=/Archives/edgar/data/1267565/000162828026031697/coll-20260331.htm" TargetMode="External"/><Relationship Id="rId24" Type="http://schemas.openxmlformats.org/officeDocument/2006/relationships/hyperlink" Target="https://www.sec.gov/ix?doc=/Archives/edgar/data/1267565/000110465926032166/tm269336d1_8k.htm" TargetMode="External"/><Relationship Id="rId25" Type="http://schemas.openxmlformats.org/officeDocument/2006/relationships/hyperlink" Target="https://www.sec.gov/ix?doc=/Archives/edgar/data/1267565/000162828026024061/coll-20260402.htm" TargetMode="External"/><Relationship Id="rId26" Type="http://schemas.openxmlformats.org/officeDocument/2006/relationships/hyperlink" Target="https://www.sec.gov/ix?doc=/Archives/edgar/data/1267565/000110465926059018/tm2614189d1_8k.htm" TargetMode="External"/><Relationship Id="rId27" Type="http://schemas.openxmlformats.org/officeDocument/2006/relationships/hyperlink" Target="https://www.sec.gov/ix?doc=/Archives/edgar/data/1267565/000110465926062536/tm2614189d1_8k.htm" TargetMode="External"/><Relationship Id="rId28" Type="http://schemas.openxmlformats.org/officeDocument/2006/relationships/hyperlink" Target="https://www.sec.gov/Archives/edgar/data/1267565/000110465915033193/a15-2123_58a12b.htm" TargetMode="External"/><Relationship Id="rId31" Type="http://schemas.openxmlformats.org/officeDocument/2006/relationships/hyperlink" Target="https://www.sec.gov/Archives/edgar/data/1267565/000155837020009387/coll-20200630xex3d1.htm" TargetMode="External"/><Relationship Id="rId32" Type="http://schemas.openxmlformats.org/officeDocument/2006/relationships/hyperlink" Target="https://www.sec.gov/Archives/edgar/data/1267565/000110465917071469/a17-27884_1ex3d1.htm" TargetMode="External"/><Relationship Id="rId33" Type="http://schemas.openxmlformats.org/officeDocument/2006/relationships/hyperlink" Target="https://www.sec.gov/Archives/edgar/data/1267565/000110465915074912/a15-22080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2026-06-01T16:43:09Z</dcterms:created>
  <dcterms:modified xsi:type="dcterms:W3CDTF">2026-06-01T16:43:09Z</dcterms:modified>
</cp:coreProperties>
</file>